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167B82">
        <w:rPr>
          <w:rFonts w:ascii="Arial Bold" w:hAnsi="Arial Bold" w:cs="Arial"/>
          <w:b/>
          <w:caps/>
          <w:sz w:val="22"/>
          <w:szCs w:val="22"/>
        </w:rPr>
        <w:t>A</w:t>
      </w:r>
      <w:r w:rsidR="00431F16">
        <w:rPr>
          <w:rFonts w:ascii="Arial Bold" w:hAnsi="Arial Bold" w:cs="Arial"/>
          <w:b/>
          <w:caps/>
          <w:sz w:val="22"/>
          <w:szCs w:val="22"/>
        </w:rPr>
        <w:t>2</w:t>
      </w:r>
      <w:bookmarkStart w:id="0" w:name="_GoBack"/>
      <w:bookmarkEnd w:id="0"/>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Pr="00167B82"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2A53B5" w:rsidRPr="004B4E81" w:rsidTr="00482817">
        <w:trPr>
          <w:trHeight w:val="839"/>
        </w:trPr>
        <w:tc>
          <w:tcPr>
            <w:tcW w:w="993" w:type="dxa"/>
            <w:shd w:val="clear" w:color="auto" w:fill="auto"/>
          </w:tcPr>
          <w:p w:rsidR="002A53B5" w:rsidRPr="004B4E81" w:rsidRDefault="002A53B5" w:rsidP="002A53B5">
            <w:pPr>
              <w:widowControl w:val="0"/>
              <w:spacing w:line="276" w:lineRule="auto"/>
              <w:jc w:val="left"/>
              <w:rPr>
                <w:rFonts w:eastAsia="Calibri" w:cs="Arial"/>
              </w:rPr>
            </w:pPr>
          </w:p>
          <w:p w:rsidR="002A53B5" w:rsidRPr="004B4E81" w:rsidRDefault="000B6BFB" w:rsidP="0009632E">
            <w:pPr>
              <w:widowControl w:val="0"/>
              <w:spacing w:line="360" w:lineRule="auto"/>
              <w:jc w:val="left"/>
              <w:rPr>
                <w:rFonts w:eastAsia="Calibri" w:cs="Arial"/>
              </w:rPr>
            </w:pPr>
            <w:r>
              <w:rPr>
                <w:rFonts w:eastAsia="Calibri" w:cs="Arial"/>
              </w:rPr>
              <w:t>9.</w:t>
            </w:r>
            <w:r w:rsidR="0009632E">
              <w:rPr>
                <w:rFonts w:eastAsia="Calibri" w:cs="Arial"/>
              </w:rPr>
              <w:t>4</w:t>
            </w:r>
            <w:r>
              <w:rPr>
                <w:rFonts w:eastAsia="Calibri" w:cs="Arial"/>
              </w:rPr>
              <w:t>.1.1</w:t>
            </w:r>
          </w:p>
        </w:tc>
        <w:tc>
          <w:tcPr>
            <w:tcW w:w="3118" w:type="dxa"/>
            <w:shd w:val="clear" w:color="auto" w:fill="auto"/>
          </w:tcPr>
          <w:p w:rsidR="002A53B5" w:rsidRPr="000B6BFB" w:rsidRDefault="0009632E" w:rsidP="002A53B5">
            <w:pPr>
              <w:rPr>
                <w:rFonts w:cs="Arial"/>
                <w:sz w:val="22"/>
                <w:szCs w:val="22"/>
              </w:rPr>
            </w:pPr>
            <w:r w:rsidRPr="0009632E">
              <w:rPr>
                <w:rFonts w:cs="Arial"/>
                <w:sz w:val="22"/>
                <w:szCs w:val="22"/>
              </w:rPr>
              <w:t>A company profile detailing structure, service offering and infrastructure to render the services; and</w:t>
            </w:r>
          </w:p>
        </w:tc>
        <w:tc>
          <w:tcPr>
            <w:tcW w:w="1276" w:type="dxa"/>
            <w:shd w:val="clear" w:color="auto" w:fill="auto"/>
          </w:tcPr>
          <w:p w:rsidR="002A53B5" w:rsidRPr="004B4E81" w:rsidRDefault="002A53B5" w:rsidP="002A53B5">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60288" behindDoc="0" locked="0" layoutInCell="1" allowOverlap="1" wp14:anchorId="0EEB049F" wp14:editId="691CF128">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2A53B5" w:rsidRDefault="002A53B5" w:rsidP="002A53B5">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0EEB049F" id="Rectangle 1" o:spid="_x0000_s1026" style="position:absolute;left:0;text-align:left;margin-left:37.2pt;margin-top:9.15pt;width:228pt;height:66.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2A53B5" w:rsidRDefault="002A53B5" w:rsidP="002A53B5">
                            <w:pPr>
                              <w:pStyle w:val="NormalWeb"/>
                              <w:jc w:val="center"/>
                            </w:pPr>
                            <w:r>
                              <w:rPr>
                                <w:rFonts w:asciiTheme="minorHAnsi" w:hAnsi="Calibri" w:cstheme="minorBidi"/>
                                <w:b/>
                                <w:bCs/>
                                <w:color w:val="FF0000"/>
                                <w:sz w:val="88"/>
                                <w:szCs w:val="88"/>
                              </w:rPr>
                              <w:t>EXAMPLE</w:t>
                            </w:r>
                            <w:bookmarkStart w:id="1" w:name="_GoBack"/>
                            <w:bookmarkEnd w:id="1"/>
                          </w:p>
                        </w:txbxContent>
                      </v:textbox>
                    </v:rect>
                  </w:pict>
                </mc:Fallback>
              </mc:AlternateContent>
            </w:r>
          </w:p>
          <w:p w:rsidR="002A53B5" w:rsidRPr="004B4E81" w:rsidRDefault="002A53B5" w:rsidP="002A53B5">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2A53B5" w:rsidRPr="004B4E81" w:rsidRDefault="002A53B5" w:rsidP="002A53B5">
            <w:pPr>
              <w:widowControl w:val="0"/>
              <w:spacing w:line="360" w:lineRule="auto"/>
              <w:jc w:val="left"/>
              <w:rPr>
                <w:rFonts w:eastAsia="Calibri" w:cs="Arial"/>
              </w:rPr>
            </w:pPr>
          </w:p>
        </w:tc>
        <w:tc>
          <w:tcPr>
            <w:tcW w:w="1276" w:type="dxa"/>
            <w:shd w:val="clear" w:color="auto" w:fill="auto"/>
          </w:tcPr>
          <w:p w:rsidR="002A53B5" w:rsidRPr="004B4E81" w:rsidRDefault="002A53B5" w:rsidP="002A53B5">
            <w:pPr>
              <w:widowControl w:val="0"/>
              <w:spacing w:line="360" w:lineRule="auto"/>
              <w:jc w:val="left"/>
              <w:rPr>
                <w:rFonts w:eastAsia="Calibri" w:cs="Arial"/>
              </w:rPr>
            </w:pPr>
          </w:p>
        </w:tc>
        <w:tc>
          <w:tcPr>
            <w:tcW w:w="1275" w:type="dxa"/>
            <w:shd w:val="clear" w:color="auto" w:fill="auto"/>
            <w:vAlign w:val="center"/>
          </w:tcPr>
          <w:p w:rsidR="002A53B5" w:rsidRPr="004B4E81" w:rsidRDefault="002A53B5" w:rsidP="002A53B5">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2A53B5" w:rsidRPr="004B4E81" w:rsidRDefault="002A53B5" w:rsidP="002A53B5">
            <w:pPr>
              <w:widowControl w:val="0"/>
              <w:spacing w:line="360" w:lineRule="auto"/>
              <w:jc w:val="left"/>
              <w:rPr>
                <w:rFonts w:eastAsia="Calibri" w:cs="Arial"/>
              </w:rPr>
            </w:pPr>
          </w:p>
        </w:tc>
      </w:tr>
      <w:tr w:rsidR="002A53B5" w:rsidRPr="004B4E81" w:rsidTr="00546DB8">
        <w:trPr>
          <w:trHeight w:val="382"/>
        </w:trPr>
        <w:tc>
          <w:tcPr>
            <w:tcW w:w="993" w:type="dxa"/>
            <w:shd w:val="clear" w:color="auto" w:fill="auto"/>
          </w:tcPr>
          <w:p w:rsidR="002A53B5" w:rsidRPr="004B4E81" w:rsidRDefault="002A53B5" w:rsidP="002A53B5">
            <w:pPr>
              <w:widowControl w:val="0"/>
              <w:spacing w:line="276" w:lineRule="auto"/>
              <w:jc w:val="left"/>
              <w:rPr>
                <w:rFonts w:eastAsia="Calibri" w:cs="Arial"/>
              </w:rPr>
            </w:pPr>
          </w:p>
          <w:p w:rsidR="002A53B5" w:rsidRPr="004B4E81" w:rsidRDefault="0009632E" w:rsidP="002A53B5">
            <w:pPr>
              <w:widowControl w:val="0"/>
              <w:spacing w:line="360" w:lineRule="auto"/>
              <w:jc w:val="left"/>
              <w:rPr>
                <w:rFonts w:eastAsia="Calibri" w:cs="Arial"/>
              </w:rPr>
            </w:pPr>
            <w:r>
              <w:rPr>
                <w:rFonts w:eastAsia="Calibri" w:cs="Arial"/>
              </w:rPr>
              <w:t>9.4</w:t>
            </w:r>
            <w:r w:rsidR="000B6BFB">
              <w:rPr>
                <w:rFonts w:eastAsia="Calibri" w:cs="Arial"/>
              </w:rPr>
              <w:t>.1.2</w:t>
            </w:r>
          </w:p>
        </w:tc>
        <w:tc>
          <w:tcPr>
            <w:tcW w:w="3118" w:type="dxa"/>
            <w:shd w:val="clear" w:color="auto" w:fill="auto"/>
          </w:tcPr>
          <w:p w:rsidR="002A53B5" w:rsidRPr="000B6BFB" w:rsidRDefault="0009632E" w:rsidP="002A53B5">
            <w:pPr>
              <w:rPr>
                <w:rFonts w:cs="Arial"/>
                <w:sz w:val="22"/>
                <w:szCs w:val="22"/>
              </w:rPr>
            </w:pPr>
            <w:r w:rsidRPr="0009632E">
              <w:rPr>
                <w:rFonts w:cs="Arial"/>
                <w:sz w:val="22"/>
                <w:szCs w:val="22"/>
              </w:rPr>
              <w:t>Details of the key contact person / key account manager including his/her role and responsibilities and a comprehensive Curriculum Vitae (CV), which must be signed by both the Bidder’s authorised representative and the resource concerned, in order to confirm that it is accurate and complete</w:t>
            </w:r>
          </w:p>
        </w:tc>
        <w:tc>
          <w:tcPr>
            <w:tcW w:w="1276" w:type="dxa"/>
            <w:shd w:val="clear" w:color="auto" w:fill="auto"/>
          </w:tcPr>
          <w:p w:rsidR="002A53B5" w:rsidRPr="004B4E81" w:rsidRDefault="002A53B5" w:rsidP="002A53B5">
            <w:pPr>
              <w:widowControl w:val="0"/>
              <w:spacing w:line="360" w:lineRule="auto"/>
              <w:jc w:val="center"/>
              <w:rPr>
                <w:rFonts w:eastAsia="Calibri" w:cs="Arial"/>
              </w:rPr>
            </w:pPr>
          </w:p>
        </w:tc>
        <w:tc>
          <w:tcPr>
            <w:tcW w:w="1276" w:type="dxa"/>
            <w:shd w:val="clear" w:color="auto" w:fill="auto"/>
          </w:tcPr>
          <w:p w:rsidR="002A53B5" w:rsidRPr="004B4E81" w:rsidRDefault="002A53B5" w:rsidP="002A53B5">
            <w:pPr>
              <w:widowControl w:val="0"/>
              <w:spacing w:line="360" w:lineRule="auto"/>
              <w:jc w:val="left"/>
              <w:rPr>
                <w:rFonts w:eastAsia="Calibri" w:cs="Arial"/>
              </w:rPr>
            </w:pPr>
          </w:p>
          <w:p w:rsidR="002A53B5" w:rsidRPr="004B4E81" w:rsidRDefault="002A53B5" w:rsidP="002A53B5">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2A53B5" w:rsidRPr="004B4E81" w:rsidRDefault="002A53B5" w:rsidP="002A53B5">
            <w:pPr>
              <w:widowControl w:val="0"/>
              <w:spacing w:line="360" w:lineRule="auto"/>
              <w:jc w:val="left"/>
              <w:rPr>
                <w:rFonts w:eastAsia="Calibri" w:cs="Arial"/>
              </w:rPr>
            </w:pPr>
          </w:p>
        </w:tc>
        <w:tc>
          <w:tcPr>
            <w:tcW w:w="1275" w:type="dxa"/>
            <w:shd w:val="clear" w:color="auto" w:fill="auto"/>
            <w:vAlign w:val="center"/>
          </w:tcPr>
          <w:p w:rsidR="002A53B5" w:rsidRPr="004B4E81" w:rsidRDefault="002A53B5" w:rsidP="002A53B5">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2A53B5" w:rsidRPr="004B4E81" w:rsidRDefault="002A53B5" w:rsidP="002A53B5">
            <w:pPr>
              <w:widowControl w:val="0"/>
              <w:spacing w:line="360" w:lineRule="auto"/>
              <w:jc w:val="left"/>
              <w:rPr>
                <w:rFonts w:eastAsia="Calibri" w:cs="Arial"/>
              </w:rPr>
            </w:pPr>
            <w:r w:rsidRPr="004B4E81">
              <w:rPr>
                <w:rFonts w:eastAsia="Calibri" w:cs="Arial"/>
              </w:rPr>
              <w:t>Bidder to state  reason for partial compliance</w:t>
            </w:r>
          </w:p>
        </w:tc>
      </w:tr>
    </w:tbl>
    <w:p w:rsidR="00967059"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167B82" w:rsidP="0065259F">
      <w:pPr>
        <w:pStyle w:val="ListParagraph"/>
        <w:spacing w:line="360" w:lineRule="auto"/>
        <w:ind w:left="0" w:hanging="142"/>
        <w:rPr>
          <w:rFonts w:cs="Arial"/>
          <w:b/>
          <w:sz w:val="22"/>
          <w:szCs w:val="22"/>
        </w:rPr>
      </w:pPr>
      <w:r>
        <w:rPr>
          <w:rFonts w:cs="Arial"/>
          <w:b/>
          <w:sz w:val="22"/>
          <w:szCs w:val="22"/>
        </w:rPr>
        <w:t>Please refer to section 9</w:t>
      </w:r>
      <w:r w:rsidR="00470D97" w:rsidRPr="00470D97">
        <w:rPr>
          <w:rFonts w:cs="Arial"/>
          <w:b/>
          <w:sz w:val="22"/>
          <w:szCs w:val="22"/>
        </w:rPr>
        <w:t xml:space="preserve">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5E360C" w:rsidRDefault="005E360C" w:rsidP="007031A7">
      <w:pPr>
        <w:pStyle w:val="ListParagraph"/>
        <w:spacing w:line="360" w:lineRule="auto"/>
        <w:ind w:left="0"/>
        <w:rPr>
          <w:rFonts w:cs="Arial"/>
          <w:b/>
          <w:sz w:val="22"/>
          <w:szCs w:val="22"/>
        </w:rPr>
      </w:pPr>
    </w:p>
    <w:tbl>
      <w:tblPr>
        <w:tblW w:w="20979"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6237"/>
      </w:tblGrid>
      <w:tr w:rsidR="00B03085" w:rsidRPr="009851F5" w:rsidTr="00ED1ECC">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ED1ECC">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E62033" w:rsidRDefault="00455C1B" w:rsidP="00AD6505">
            <w:pPr>
              <w:widowControl w:val="0"/>
              <w:spacing w:line="360" w:lineRule="auto"/>
              <w:jc w:val="left"/>
              <w:rPr>
                <w:rFonts w:cs="Arial"/>
                <w:b/>
                <w:color w:val="FFFFFF"/>
                <w:sz w:val="22"/>
                <w:szCs w:val="22"/>
              </w:rPr>
            </w:pPr>
            <w:r>
              <w:rPr>
                <w:rFonts w:cs="Arial"/>
                <w:b/>
                <w:color w:val="FFFFFF"/>
                <w:sz w:val="22"/>
                <w:szCs w:val="22"/>
              </w:rPr>
              <w:t>Company Profile, Infrastructure and Resources</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09632E">
        <w:trPr>
          <w:trHeight w:val="493"/>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rsidR="00CE5EFE" w:rsidRPr="0009632E" w:rsidRDefault="0009632E" w:rsidP="0009632E">
            <w:pPr>
              <w:widowControl w:val="0"/>
              <w:spacing w:line="360" w:lineRule="auto"/>
              <w:rPr>
                <w:rFonts w:cs="Arial"/>
                <w:sz w:val="22"/>
                <w:szCs w:val="22"/>
              </w:rPr>
            </w:pPr>
            <w:r w:rsidRPr="0009632E">
              <w:rPr>
                <w:rFonts w:cs="Arial"/>
                <w:sz w:val="22"/>
                <w:szCs w:val="22"/>
              </w:rPr>
              <w:t>A company profile detailing structure, service offering and infrastructure to render the services; and</w:t>
            </w:r>
            <w:r w:rsidR="005E360C" w:rsidRPr="005E360C">
              <w:rPr>
                <w:rFonts w:cs="Arial"/>
                <w:sz w:val="22"/>
                <w:szCs w:val="22"/>
              </w:rPr>
              <w:tab/>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D6505" w:rsidRPr="004077C8" w:rsidTr="00DF4705">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D6505" w:rsidRPr="00F80FD7" w:rsidRDefault="00AD6505" w:rsidP="00AD6505">
            <w:pPr>
              <w:widowControl w:val="0"/>
              <w:spacing w:line="360" w:lineRule="auto"/>
              <w:jc w:val="left"/>
              <w:rPr>
                <w:rFonts w:cs="Arial"/>
                <w:b/>
                <w:sz w:val="22"/>
                <w:szCs w:val="22"/>
                <w:lang w:val="en-US"/>
              </w:rPr>
            </w:pPr>
            <w:r>
              <w:rPr>
                <w:rFonts w:cs="Arial"/>
                <w:b/>
                <w:sz w:val="22"/>
                <w:szCs w:val="22"/>
                <w:lang w:val="en-US"/>
              </w:rPr>
              <w:t>1.2</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09632E" w:rsidRPr="0009632E" w:rsidRDefault="005E360C" w:rsidP="0009632E">
            <w:pPr>
              <w:widowControl w:val="0"/>
              <w:spacing w:line="360" w:lineRule="auto"/>
              <w:rPr>
                <w:rFonts w:cs="Arial"/>
                <w:sz w:val="22"/>
                <w:szCs w:val="22"/>
              </w:rPr>
            </w:pPr>
            <w:r>
              <w:rPr>
                <w:rFonts w:cs="Arial"/>
                <w:sz w:val="22"/>
                <w:szCs w:val="22"/>
              </w:rPr>
              <w:t xml:space="preserve"> </w:t>
            </w:r>
            <w:r w:rsidR="0009632E" w:rsidRPr="0009632E">
              <w:rPr>
                <w:rFonts w:cs="Arial"/>
                <w:sz w:val="22"/>
                <w:szCs w:val="22"/>
              </w:rPr>
              <w:t>Details of the key contact person / key account manager including his/her role and responsibilities and a comprehensive Curriculum Vitae (CV), which must be signed by both the Bidder’s authorised representative and the resource concerned, in order to confirm that it is accurate and complete.</w:t>
            </w:r>
          </w:p>
          <w:p w:rsidR="00AD6505" w:rsidRPr="00AB02DF" w:rsidRDefault="00AD6505" w:rsidP="005E360C">
            <w:pPr>
              <w:widowControl w:val="0"/>
              <w:tabs>
                <w:tab w:val="left" w:pos="851"/>
              </w:tabs>
              <w:spacing w:line="360" w:lineRule="auto"/>
              <w:jc w:val="left"/>
              <w:rPr>
                <w:rFonts w:cs="Arial"/>
                <w:sz w:val="22"/>
                <w:szCs w:val="22"/>
              </w:rPr>
            </w:pPr>
          </w:p>
        </w:tc>
        <w:tc>
          <w:tcPr>
            <w:tcW w:w="1418" w:type="dxa"/>
            <w:tcBorders>
              <w:top w:val="single" w:sz="12" w:space="0" w:color="000000"/>
              <w:left w:val="single" w:sz="12" w:space="0" w:color="000000"/>
              <w:bottom w:val="single" w:sz="4" w:space="0" w:color="000000" w:themeColor="text1"/>
              <w:right w:val="single" w:sz="12" w:space="0" w:color="000000"/>
            </w:tcBorders>
            <w:shd w:val="clear" w:color="auto" w:fill="auto"/>
            <w:vAlign w:val="center"/>
          </w:tcPr>
          <w:p w:rsidR="00AD6505" w:rsidRPr="00B62C57" w:rsidRDefault="00AD6505" w:rsidP="00AD6505">
            <w:pPr>
              <w:widowControl w:val="0"/>
              <w:spacing w:line="360" w:lineRule="auto"/>
              <w:jc w:val="left"/>
              <w:rPr>
                <w:rFonts w:cs="Arial"/>
                <w:lang w:val="en-GB"/>
              </w:rPr>
            </w:pPr>
          </w:p>
        </w:tc>
        <w:tc>
          <w:tcPr>
            <w:tcW w:w="1401"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r>
      <w:tr w:rsidR="00B03085" w:rsidRPr="004077C8" w:rsidTr="00ED1ECC">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lastRenderedPageBreak/>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rsidR="00B03085" w:rsidRPr="00AB02DF" w:rsidRDefault="0090533D" w:rsidP="00AD6505">
            <w:pPr>
              <w:widowControl w:val="0"/>
              <w:spacing w:line="360" w:lineRule="auto"/>
              <w:jc w:val="left"/>
              <w:rPr>
                <w:rFonts w:cs="Arial"/>
                <w:b/>
                <w:bCs/>
                <w:color w:val="FFFFFF"/>
                <w:sz w:val="22"/>
                <w:szCs w:val="22"/>
              </w:rPr>
            </w:pPr>
            <w:r>
              <w:rPr>
                <w:rFonts w:cs="Arial"/>
                <w:b/>
                <w:color w:val="FFFFFF"/>
                <w:sz w:val="22"/>
                <w:szCs w:val="22"/>
              </w:rPr>
              <w:t>Resources</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300708" w:rsidRPr="004077C8" w:rsidTr="005E360C">
        <w:trPr>
          <w:trHeight w:val="9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300708" w:rsidRPr="00F80FD7" w:rsidRDefault="00300708" w:rsidP="008C3A23">
            <w:pPr>
              <w:widowControl w:val="0"/>
              <w:spacing w:line="360" w:lineRule="auto"/>
              <w:rPr>
                <w:rFonts w:cs="Arial"/>
                <w:b/>
                <w:sz w:val="22"/>
                <w:szCs w:val="22"/>
                <w:lang w:val="en-GB"/>
              </w:rPr>
            </w:pPr>
            <w:r>
              <w:rPr>
                <w:rFonts w:cs="Arial"/>
                <w:b/>
                <w:sz w:val="22"/>
                <w:szCs w:val="22"/>
                <w:lang w:val="en-GB"/>
              </w:rPr>
              <w:t>2</w:t>
            </w:r>
            <w:r w:rsidRPr="00F80FD7">
              <w:rPr>
                <w:rFonts w:cs="Arial"/>
                <w:b/>
                <w:sz w:val="22"/>
                <w:szCs w:val="22"/>
                <w:lang w:val="en-GB"/>
              </w:rPr>
              <w:t>.1</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rsidR="0090533D" w:rsidRPr="0090533D" w:rsidRDefault="0090533D" w:rsidP="0090533D">
            <w:pPr>
              <w:widowControl w:val="0"/>
              <w:tabs>
                <w:tab w:val="left" w:pos="459"/>
              </w:tabs>
              <w:spacing w:line="360" w:lineRule="auto"/>
              <w:jc w:val="left"/>
              <w:rPr>
                <w:rFonts w:cs="Arial"/>
                <w:sz w:val="22"/>
                <w:szCs w:val="22"/>
              </w:rPr>
            </w:pPr>
            <w:r w:rsidRPr="0090533D">
              <w:rPr>
                <w:rFonts w:cs="Arial"/>
                <w:sz w:val="22"/>
                <w:szCs w:val="22"/>
              </w:rPr>
              <w:t>A detailed CV of the recommended Chairperson to SARS), which must be signed by both the Bidder’s authorised representative and the resource concerned, in order to confirm that it is accurate and complete.  The information in the CV must include but not be limited to:</w:t>
            </w:r>
          </w:p>
          <w:p w:rsidR="0090533D" w:rsidRPr="0090533D" w:rsidRDefault="0090533D" w:rsidP="0090533D">
            <w:pPr>
              <w:widowControl w:val="0"/>
              <w:tabs>
                <w:tab w:val="left" w:pos="459"/>
              </w:tabs>
              <w:spacing w:line="360" w:lineRule="auto"/>
              <w:jc w:val="left"/>
              <w:rPr>
                <w:rFonts w:cs="Arial"/>
                <w:sz w:val="22"/>
                <w:szCs w:val="22"/>
              </w:rPr>
            </w:pPr>
            <w:r w:rsidRPr="0090533D">
              <w:rPr>
                <w:rFonts w:cs="Arial"/>
                <w:sz w:val="22"/>
                <w:szCs w:val="22"/>
              </w:rPr>
              <w:t>•</w:t>
            </w:r>
            <w:r w:rsidRPr="0090533D">
              <w:rPr>
                <w:rFonts w:cs="Arial"/>
                <w:sz w:val="22"/>
                <w:szCs w:val="22"/>
              </w:rPr>
              <w:tab/>
              <w:t>Academic Qualifications and;</w:t>
            </w:r>
          </w:p>
          <w:p w:rsidR="00300708" w:rsidRPr="00AB02DF" w:rsidRDefault="0090533D" w:rsidP="0090533D">
            <w:pPr>
              <w:widowControl w:val="0"/>
              <w:tabs>
                <w:tab w:val="left" w:pos="459"/>
              </w:tabs>
              <w:spacing w:line="360" w:lineRule="auto"/>
              <w:jc w:val="left"/>
              <w:rPr>
                <w:rFonts w:cs="Arial"/>
                <w:sz w:val="22"/>
                <w:szCs w:val="22"/>
              </w:rPr>
            </w:pPr>
            <w:r w:rsidRPr="0090533D">
              <w:rPr>
                <w:rFonts w:cs="Arial"/>
                <w:sz w:val="22"/>
                <w:szCs w:val="22"/>
              </w:rPr>
              <w:t>•</w:t>
            </w:r>
            <w:r w:rsidRPr="0090533D">
              <w:rPr>
                <w:rFonts w:cs="Arial"/>
                <w:sz w:val="22"/>
                <w:szCs w:val="22"/>
              </w:rPr>
              <w:tab/>
              <w:t>Professional Qualification</w:t>
            </w:r>
            <w:r w:rsidR="005E360C" w:rsidRPr="005E360C">
              <w:rPr>
                <w:rFonts w:ascii="Arial Narrow" w:hAnsi="Arial Narrow"/>
                <w:sz w:val="22"/>
                <w:szCs w:val="22"/>
              </w:rPr>
              <w:t xml:space="preserve">  </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r>
      <w:tr w:rsidR="005E360C" w:rsidRPr="004077C8" w:rsidTr="005E360C">
        <w:trPr>
          <w:trHeight w:val="70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5E360C" w:rsidRDefault="005E360C" w:rsidP="008C3A23">
            <w:pPr>
              <w:widowControl w:val="0"/>
              <w:spacing w:line="360" w:lineRule="auto"/>
              <w:rPr>
                <w:rFonts w:cs="Arial"/>
                <w:b/>
                <w:sz w:val="22"/>
                <w:szCs w:val="22"/>
                <w:lang w:val="en-GB"/>
              </w:rPr>
            </w:pPr>
            <w:r>
              <w:rPr>
                <w:rFonts w:cs="Arial"/>
                <w:b/>
                <w:sz w:val="22"/>
                <w:szCs w:val="22"/>
                <w:lang w:val="en-GB"/>
              </w:rPr>
              <w:t>2.2</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rsidR="0090533D" w:rsidRPr="0090533D" w:rsidRDefault="0090533D" w:rsidP="0090533D">
            <w:pPr>
              <w:widowControl w:val="0"/>
              <w:tabs>
                <w:tab w:val="left" w:pos="459"/>
              </w:tabs>
              <w:spacing w:line="360" w:lineRule="auto"/>
              <w:jc w:val="left"/>
              <w:rPr>
                <w:rFonts w:cs="Arial"/>
                <w:sz w:val="22"/>
                <w:szCs w:val="22"/>
              </w:rPr>
            </w:pPr>
            <w:r w:rsidRPr="0090533D">
              <w:rPr>
                <w:rFonts w:cs="Arial"/>
                <w:sz w:val="22"/>
                <w:szCs w:val="22"/>
              </w:rPr>
              <w:t>A schedule of the Bidder’s experience and proven track record over the past ten (10) years, in chairing across various structures or levels, including but not limited to: national bargaining forums, bargaining council, mediation, conciliation and presiding over disputes between organised labour and employers to a minimum of three (3) clients. The schedule must include the following information for each client:</w:t>
            </w:r>
          </w:p>
          <w:p w:rsidR="0090533D" w:rsidRPr="0090533D" w:rsidRDefault="0090533D" w:rsidP="0090533D">
            <w:pPr>
              <w:widowControl w:val="0"/>
              <w:tabs>
                <w:tab w:val="left" w:pos="459"/>
              </w:tabs>
              <w:spacing w:line="360" w:lineRule="auto"/>
              <w:jc w:val="left"/>
              <w:rPr>
                <w:rFonts w:cs="Arial"/>
                <w:sz w:val="22"/>
                <w:szCs w:val="22"/>
              </w:rPr>
            </w:pPr>
            <w:bookmarkStart w:id="1" w:name="_Toc500831233"/>
            <w:bookmarkStart w:id="2" w:name="_Toc501458655"/>
            <w:bookmarkStart w:id="3" w:name="_Toc501613056"/>
            <w:bookmarkStart w:id="4" w:name="_Toc79073079"/>
            <w:bookmarkStart w:id="5" w:name="_Toc79077141"/>
            <w:bookmarkStart w:id="6" w:name="_Toc79678318"/>
            <w:r w:rsidRPr="0090533D">
              <w:rPr>
                <w:rFonts w:cs="Arial"/>
                <w:sz w:val="22"/>
                <w:szCs w:val="22"/>
              </w:rPr>
              <w:t>Client name;</w:t>
            </w:r>
            <w:bookmarkEnd w:id="1"/>
            <w:bookmarkEnd w:id="2"/>
            <w:bookmarkEnd w:id="3"/>
            <w:bookmarkEnd w:id="4"/>
            <w:bookmarkEnd w:id="5"/>
            <w:bookmarkEnd w:id="6"/>
          </w:p>
          <w:p w:rsidR="0090533D" w:rsidRPr="0090533D" w:rsidRDefault="0090533D" w:rsidP="0090533D">
            <w:pPr>
              <w:widowControl w:val="0"/>
              <w:tabs>
                <w:tab w:val="left" w:pos="459"/>
              </w:tabs>
              <w:spacing w:line="360" w:lineRule="auto"/>
              <w:jc w:val="left"/>
              <w:rPr>
                <w:rFonts w:cs="Arial"/>
                <w:sz w:val="22"/>
                <w:szCs w:val="22"/>
              </w:rPr>
            </w:pPr>
            <w:bookmarkStart w:id="7" w:name="_Toc500831234"/>
            <w:bookmarkStart w:id="8" w:name="_Toc501458656"/>
            <w:bookmarkStart w:id="9" w:name="_Toc501613057"/>
            <w:bookmarkStart w:id="10" w:name="_Toc79073080"/>
            <w:bookmarkStart w:id="11" w:name="_Toc79077142"/>
            <w:bookmarkStart w:id="12" w:name="_Toc79678319"/>
            <w:r w:rsidRPr="0090533D">
              <w:rPr>
                <w:rFonts w:cs="Arial"/>
                <w:sz w:val="22"/>
                <w:szCs w:val="22"/>
              </w:rPr>
              <w:t>Provide negotiation / bargaining strategy and planning;</w:t>
            </w:r>
            <w:bookmarkEnd w:id="7"/>
            <w:bookmarkEnd w:id="8"/>
            <w:bookmarkEnd w:id="9"/>
            <w:bookmarkEnd w:id="10"/>
            <w:bookmarkEnd w:id="11"/>
            <w:bookmarkEnd w:id="12"/>
          </w:p>
          <w:p w:rsidR="0090533D" w:rsidRPr="0090533D" w:rsidRDefault="0090533D" w:rsidP="0090533D">
            <w:pPr>
              <w:widowControl w:val="0"/>
              <w:tabs>
                <w:tab w:val="left" w:pos="459"/>
              </w:tabs>
              <w:spacing w:line="360" w:lineRule="auto"/>
              <w:jc w:val="left"/>
              <w:rPr>
                <w:rFonts w:cs="Arial"/>
                <w:sz w:val="22"/>
                <w:szCs w:val="22"/>
              </w:rPr>
            </w:pPr>
            <w:bookmarkStart w:id="13" w:name="_Toc500831235"/>
            <w:bookmarkStart w:id="14" w:name="_Toc501458657"/>
            <w:bookmarkStart w:id="15" w:name="_Toc501613058"/>
            <w:bookmarkStart w:id="16" w:name="_Toc79073081"/>
            <w:bookmarkStart w:id="17" w:name="_Toc79077143"/>
            <w:bookmarkStart w:id="18" w:name="_Toc79678320"/>
            <w:r w:rsidRPr="0090533D">
              <w:rPr>
                <w:rFonts w:cs="Arial"/>
                <w:sz w:val="22"/>
                <w:szCs w:val="22"/>
              </w:rPr>
              <w:t>Provide applicable legislation;</w:t>
            </w:r>
            <w:bookmarkEnd w:id="13"/>
            <w:bookmarkEnd w:id="14"/>
            <w:bookmarkEnd w:id="15"/>
            <w:bookmarkEnd w:id="16"/>
            <w:bookmarkEnd w:id="17"/>
            <w:bookmarkEnd w:id="18"/>
          </w:p>
          <w:p w:rsidR="0090533D" w:rsidRPr="0090533D" w:rsidRDefault="0090533D" w:rsidP="0090533D">
            <w:pPr>
              <w:widowControl w:val="0"/>
              <w:tabs>
                <w:tab w:val="left" w:pos="459"/>
              </w:tabs>
              <w:spacing w:line="360" w:lineRule="auto"/>
              <w:jc w:val="left"/>
              <w:rPr>
                <w:rFonts w:cs="Arial"/>
                <w:sz w:val="22"/>
                <w:szCs w:val="22"/>
              </w:rPr>
            </w:pPr>
            <w:bookmarkStart w:id="19" w:name="_Toc500831236"/>
            <w:bookmarkStart w:id="20" w:name="_Toc501458658"/>
            <w:bookmarkStart w:id="21" w:name="_Toc501613059"/>
            <w:bookmarkStart w:id="22" w:name="_Toc79073082"/>
            <w:bookmarkStart w:id="23" w:name="_Toc79077144"/>
            <w:bookmarkStart w:id="24" w:name="_Toc79678321"/>
            <w:r w:rsidRPr="0090533D">
              <w:rPr>
                <w:rFonts w:cs="Arial"/>
                <w:sz w:val="22"/>
                <w:szCs w:val="22"/>
              </w:rPr>
              <w:t>Provide top 3 key issues (challenges);</w:t>
            </w:r>
            <w:bookmarkEnd w:id="19"/>
            <w:bookmarkEnd w:id="20"/>
            <w:bookmarkEnd w:id="21"/>
            <w:bookmarkEnd w:id="22"/>
            <w:bookmarkEnd w:id="23"/>
            <w:bookmarkEnd w:id="24"/>
          </w:p>
          <w:p w:rsidR="0090533D" w:rsidRPr="0090533D" w:rsidRDefault="0090533D" w:rsidP="0090533D">
            <w:pPr>
              <w:widowControl w:val="0"/>
              <w:tabs>
                <w:tab w:val="left" w:pos="459"/>
              </w:tabs>
              <w:spacing w:line="360" w:lineRule="auto"/>
              <w:jc w:val="left"/>
              <w:rPr>
                <w:rFonts w:cs="Arial"/>
                <w:sz w:val="22"/>
                <w:szCs w:val="22"/>
              </w:rPr>
            </w:pPr>
            <w:bookmarkStart w:id="25" w:name="_Toc500831237"/>
            <w:bookmarkStart w:id="26" w:name="_Toc501458659"/>
            <w:bookmarkStart w:id="27" w:name="_Toc501613060"/>
            <w:bookmarkStart w:id="28" w:name="_Toc79073083"/>
            <w:bookmarkStart w:id="29" w:name="_Toc79077145"/>
            <w:bookmarkStart w:id="30" w:name="_Toc79678322"/>
            <w:r w:rsidRPr="0090533D">
              <w:rPr>
                <w:rFonts w:cs="Arial"/>
                <w:sz w:val="22"/>
                <w:szCs w:val="22"/>
              </w:rPr>
              <w:t>Resolutions;</w:t>
            </w:r>
            <w:bookmarkEnd w:id="25"/>
            <w:r w:rsidRPr="0090533D">
              <w:rPr>
                <w:rFonts w:cs="Arial"/>
                <w:sz w:val="22"/>
                <w:szCs w:val="22"/>
              </w:rPr>
              <w:t xml:space="preserve"> and</w:t>
            </w:r>
            <w:bookmarkEnd w:id="26"/>
            <w:bookmarkEnd w:id="27"/>
            <w:bookmarkEnd w:id="28"/>
            <w:bookmarkEnd w:id="29"/>
            <w:bookmarkEnd w:id="30"/>
          </w:p>
          <w:p w:rsidR="0090533D" w:rsidRPr="0090533D" w:rsidRDefault="0090533D" w:rsidP="0090533D">
            <w:pPr>
              <w:widowControl w:val="0"/>
              <w:tabs>
                <w:tab w:val="left" w:pos="459"/>
              </w:tabs>
              <w:spacing w:line="360" w:lineRule="auto"/>
              <w:jc w:val="left"/>
              <w:rPr>
                <w:rFonts w:cs="Arial"/>
                <w:sz w:val="22"/>
                <w:szCs w:val="22"/>
              </w:rPr>
            </w:pPr>
            <w:bookmarkStart w:id="31" w:name="_Toc500831238"/>
            <w:bookmarkStart w:id="32" w:name="_Toc501458660"/>
            <w:bookmarkStart w:id="33" w:name="_Toc501613061"/>
            <w:bookmarkStart w:id="34" w:name="_Toc79073084"/>
            <w:bookmarkStart w:id="35" w:name="_Toc79077146"/>
            <w:bookmarkStart w:id="36" w:name="_Toc79678323"/>
            <w:r w:rsidRPr="0090533D">
              <w:rPr>
                <w:rFonts w:cs="Arial"/>
                <w:sz w:val="22"/>
                <w:szCs w:val="22"/>
              </w:rPr>
              <w:t>Lessons learned.</w:t>
            </w:r>
            <w:bookmarkEnd w:id="31"/>
            <w:bookmarkEnd w:id="32"/>
            <w:bookmarkEnd w:id="33"/>
            <w:bookmarkEnd w:id="34"/>
            <w:bookmarkEnd w:id="35"/>
            <w:bookmarkEnd w:id="36"/>
          </w:p>
          <w:p w:rsidR="005E360C" w:rsidRDefault="005E360C" w:rsidP="00455C1B">
            <w:pPr>
              <w:widowControl w:val="0"/>
              <w:tabs>
                <w:tab w:val="left" w:pos="459"/>
              </w:tabs>
              <w:spacing w:line="360" w:lineRule="auto"/>
              <w:jc w:val="left"/>
              <w:rPr>
                <w:rFonts w:cs="Arial"/>
                <w:sz w:val="22"/>
                <w:szCs w:val="22"/>
              </w:rPr>
            </w:pP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5E360C" w:rsidRPr="00B62C57" w:rsidRDefault="005E360C"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5E360C" w:rsidRDefault="005E360C"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5E360C" w:rsidRDefault="005E360C"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5E360C" w:rsidRDefault="005E360C"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5E360C" w:rsidRDefault="005E360C" w:rsidP="0095291C">
            <w:pPr>
              <w:widowControl w:val="0"/>
              <w:spacing w:line="360" w:lineRule="auto"/>
              <w:rPr>
                <w:rFonts w:cs="Arial"/>
                <w:sz w:val="22"/>
                <w:szCs w:val="22"/>
                <w:lang w:val="en-US"/>
              </w:rPr>
            </w:pPr>
          </w:p>
        </w:tc>
      </w:tr>
      <w:tr w:rsidR="0090533D" w:rsidRPr="004077C8" w:rsidTr="005E360C">
        <w:trPr>
          <w:trHeight w:val="70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90533D" w:rsidRDefault="0090533D" w:rsidP="008C3A23">
            <w:pPr>
              <w:widowControl w:val="0"/>
              <w:spacing w:line="360" w:lineRule="auto"/>
              <w:rPr>
                <w:rFonts w:cs="Arial"/>
                <w:b/>
                <w:sz w:val="22"/>
                <w:szCs w:val="22"/>
                <w:lang w:val="en-GB"/>
              </w:rPr>
            </w:pPr>
            <w:r>
              <w:rPr>
                <w:rFonts w:cs="Arial"/>
                <w:b/>
                <w:sz w:val="22"/>
                <w:szCs w:val="22"/>
                <w:lang w:val="en-GB"/>
              </w:rPr>
              <w:t>2.3</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rsidR="0090533D" w:rsidRPr="0090533D" w:rsidRDefault="0090533D" w:rsidP="0090533D">
            <w:pPr>
              <w:widowControl w:val="0"/>
              <w:tabs>
                <w:tab w:val="left" w:pos="459"/>
              </w:tabs>
              <w:spacing w:line="360" w:lineRule="auto"/>
              <w:jc w:val="left"/>
              <w:rPr>
                <w:rFonts w:cs="Arial"/>
                <w:sz w:val="22"/>
                <w:szCs w:val="22"/>
              </w:rPr>
            </w:pPr>
            <w:bookmarkStart w:id="37" w:name="_Toc78445912"/>
            <w:r w:rsidRPr="0090533D">
              <w:rPr>
                <w:rFonts w:cs="Arial"/>
                <w:sz w:val="22"/>
                <w:szCs w:val="22"/>
              </w:rPr>
              <w:t>A detailed proposal of an alternative Chairperson, in the event that the appointed Chairperson is not available at any time during the term of the Agreement. In this regard, the Bidder must provide a detailed CV of an alternative Chairperson, which must be signed by both the Bidder’s authorised representative and the resource concerned, in order to confirm that it is accurate and complete. The information in the CV must include but not be limited to:</w:t>
            </w:r>
          </w:p>
          <w:p w:rsidR="0090533D" w:rsidRPr="0090533D" w:rsidRDefault="0090533D" w:rsidP="0090533D">
            <w:pPr>
              <w:widowControl w:val="0"/>
              <w:tabs>
                <w:tab w:val="left" w:pos="459"/>
              </w:tabs>
              <w:spacing w:line="360" w:lineRule="auto"/>
              <w:jc w:val="left"/>
              <w:rPr>
                <w:rFonts w:cs="Arial"/>
                <w:sz w:val="22"/>
                <w:szCs w:val="22"/>
              </w:rPr>
            </w:pPr>
            <w:bookmarkStart w:id="38" w:name="_Toc79678325"/>
            <w:bookmarkEnd w:id="37"/>
            <w:r w:rsidRPr="0090533D">
              <w:rPr>
                <w:rFonts w:cs="Arial"/>
                <w:sz w:val="22"/>
                <w:szCs w:val="22"/>
              </w:rPr>
              <w:t>•</w:t>
            </w:r>
            <w:r>
              <w:rPr>
                <w:rFonts w:cs="Arial"/>
                <w:sz w:val="22"/>
                <w:szCs w:val="22"/>
              </w:rPr>
              <w:t xml:space="preserve">  </w:t>
            </w:r>
            <w:r w:rsidRPr="0090533D">
              <w:rPr>
                <w:rFonts w:cs="Arial"/>
                <w:sz w:val="22"/>
                <w:szCs w:val="22"/>
              </w:rPr>
              <w:t>Academic qualifications; and</w:t>
            </w:r>
            <w:bookmarkEnd w:id="38"/>
            <w:r w:rsidRPr="0090533D">
              <w:rPr>
                <w:rFonts w:cs="Arial"/>
                <w:sz w:val="22"/>
                <w:szCs w:val="22"/>
              </w:rPr>
              <w:t xml:space="preserve"> </w:t>
            </w:r>
          </w:p>
          <w:p w:rsidR="0090533D" w:rsidRPr="0090533D" w:rsidRDefault="0090533D" w:rsidP="0090533D">
            <w:pPr>
              <w:widowControl w:val="0"/>
              <w:tabs>
                <w:tab w:val="left" w:pos="459"/>
              </w:tabs>
              <w:spacing w:line="360" w:lineRule="auto"/>
              <w:jc w:val="left"/>
              <w:rPr>
                <w:rFonts w:cs="Arial"/>
                <w:sz w:val="22"/>
                <w:szCs w:val="22"/>
              </w:rPr>
            </w:pPr>
            <w:bookmarkStart w:id="39" w:name="_Toc78445914"/>
            <w:bookmarkStart w:id="40" w:name="_Toc79678326"/>
            <w:r w:rsidRPr="0090533D">
              <w:rPr>
                <w:rFonts w:cs="Arial"/>
                <w:sz w:val="22"/>
                <w:szCs w:val="22"/>
              </w:rPr>
              <w:t>•</w:t>
            </w:r>
            <w:r>
              <w:rPr>
                <w:rFonts w:cs="Arial"/>
                <w:sz w:val="22"/>
                <w:szCs w:val="22"/>
              </w:rPr>
              <w:t xml:space="preserve">  </w:t>
            </w:r>
            <w:r w:rsidRPr="0090533D">
              <w:rPr>
                <w:rFonts w:cs="Arial"/>
                <w:sz w:val="22"/>
                <w:szCs w:val="22"/>
              </w:rPr>
              <w:t>Professional Qualification.</w:t>
            </w:r>
            <w:bookmarkEnd w:id="39"/>
            <w:bookmarkEnd w:id="40"/>
          </w:p>
          <w:p w:rsidR="0090533D" w:rsidRPr="0090533D" w:rsidRDefault="0090533D" w:rsidP="0090533D">
            <w:pPr>
              <w:widowControl w:val="0"/>
              <w:tabs>
                <w:tab w:val="left" w:pos="459"/>
              </w:tabs>
              <w:spacing w:line="360" w:lineRule="auto"/>
              <w:jc w:val="left"/>
              <w:rPr>
                <w:rFonts w:cs="Arial"/>
                <w:sz w:val="22"/>
                <w:szCs w:val="22"/>
              </w:rPr>
            </w:pP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90533D" w:rsidRPr="00B62C57" w:rsidRDefault="0090533D"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90533D" w:rsidRDefault="0090533D"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90533D" w:rsidRDefault="0090533D"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90533D" w:rsidRDefault="0090533D"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90533D" w:rsidRDefault="0090533D" w:rsidP="0095291C">
            <w:pPr>
              <w:widowControl w:val="0"/>
              <w:spacing w:line="360" w:lineRule="auto"/>
              <w:rPr>
                <w:rFonts w:cs="Arial"/>
                <w:sz w:val="22"/>
                <w:szCs w:val="22"/>
                <w:lang w:val="en-US"/>
              </w:rPr>
            </w:pPr>
          </w:p>
        </w:tc>
      </w:tr>
      <w:tr w:rsidR="00982A20" w:rsidRPr="004077C8" w:rsidTr="00ED1ECC">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3</w:t>
            </w:r>
            <w:r w:rsidR="008C3A23">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rsidR="0090533D" w:rsidRPr="0090533D" w:rsidRDefault="0090533D" w:rsidP="0090533D">
            <w:pPr>
              <w:widowControl w:val="0"/>
              <w:spacing w:line="360" w:lineRule="auto"/>
              <w:jc w:val="left"/>
              <w:rPr>
                <w:rFonts w:cs="Arial"/>
                <w:b/>
                <w:color w:val="FFFFFF"/>
                <w:sz w:val="22"/>
                <w:szCs w:val="22"/>
              </w:rPr>
            </w:pPr>
            <w:r w:rsidRPr="0090533D">
              <w:rPr>
                <w:rFonts w:cs="Arial"/>
                <w:b/>
                <w:color w:val="FFFFFF"/>
                <w:sz w:val="22"/>
                <w:szCs w:val="22"/>
              </w:rPr>
              <w:t>Document Management and Record Keeping</w:t>
            </w:r>
          </w:p>
          <w:p w:rsidR="00982A20" w:rsidRPr="00AB02DF" w:rsidRDefault="00982A20" w:rsidP="00AD6505">
            <w:pPr>
              <w:pStyle w:val="Default"/>
              <w:rPr>
                <w:color w:val="FFFFFF" w:themeColor="background1"/>
                <w:sz w:val="22"/>
                <w:szCs w:val="22"/>
              </w:rPr>
            </w:pP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rsidTr="005E360C">
        <w:trPr>
          <w:trHeight w:val="832"/>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423A9B" w:rsidP="00F80FD7">
            <w:pPr>
              <w:widowControl w:val="0"/>
              <w:spacing w:line="360" w:lineRule="auto"/>
              <w:jc w:val="left"/>
              <w:rPr>
                <w:rFonts w:cs="Arial"/>
                <w:b/>
                <w:sz w:val="22"/>
                <w:szCs w:val="22"/>
                <w:lang w:val="en-US"/>
              </w:rPr>
            </w:pPr>
            <w:r>
              <w:rPr>
                <w:rFonts w:cs="Arial"/>
                <w:b/>
                <w:sz w:val="22"/>
                <w:szCs w:val="22"/>
                <w:lang w:val="en-US"/>
              </w:rPr>
              <w:lastRenderedPageBreak/>
              <w:t>3.1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90533D" w:rsidP="002D4E29">
            <w:pPr>
              <w:widowControl w:val="0"/>
              <w:tabs>
                <w:tab w:val="left" w:pos="459"/>
              </w:tabs>
              <w:spacing w:line="360" w:lineRule="auto"/>
              <w:jc w:val="left"/>
              <w:rPr>
                <w:rFonts w:cs="Arial"/>
                <w:sz w:val="22"/>
                <w:szCs w:val="22"/>
              </w:rPr>
            </w:pPr>
            <w:r w:rsidRPr="0090533D">
              <w:rPr>
                <w:rFonts w:cs="Arial"/>
                <w:sz w:val="22"/>
                <w:szCs w:val="22"/>
              </w:rPr>
              <w:t>Ensures that electronic, as well as paper-based, confidential client information, will be stored and maintained safely;</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r>
      <w:tr w:rsidR="0090533D" w:rsidRPr="004077C8" w:rsidTr="005E360C">
        <w:trPr>
          <w:trHeight w:val="832"/>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90533D" w:rsidRDefault="0090533D" w:rsidP="00F80FD7">
            <w:pPr>
              <w:widowControl w:val="0"/>
              <w:spacing w:line="360" w:lineRule="auto"/>
              <w:jc w:val="left"/>
              <w:rPr>
                <w:rFonts w:cs="Arial"/>
                <w:b/>
                <w:sz w:val="22"/>
                <w:szCs w:val="22"/>
                <w:lang w:val="en-US"/>
              </w:rPr>
            </w:pPr>
            <w:r>
              <w:rPr>
                <w:rFonts w:cs="Arial"/>
                <w:b/>
                <w:sz w:val="22"/>
                <w:szCs w:val="22"/>
                <w:lang w:val="en-US"/>
              </w:rPr>
              <w:t>3.2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90533D" w:rsidRPr="0090533D" w:rsidRDefault="0090533D" w:rsidP="002D4E29">
            <w:pPr>
              <w:widowControl w:val="0"/>
              <w:tabs>
                <w:tab w:val="left" w:pos="459"/>
              </w:tabs>
              <w:spacing w:line="360" w:lineRule="auto"/>
              <w:jc w:val="left"/>
              <w:rPr>
                <w:rFonts w:cs="Arial"/>
                <w:sz w:val="22"/>
                <w:szCs w:val="22"/>
              </w:rPr>
            </w:pPr>
            <w:r w:rsidRPr="0090533D">
              <w:rPr>
                <w:rFonts w:cs="Arial"/>
                <w:sz w:val="22"/>
                <w:szCs w:val="22"/>
              </w:rPr>
              <w:t>Administrative process / procedure for audit purposes and managing all records, is efficient and effective; and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90533D" w:rsidRPr="00B62C57" w:rsidRDefault="0090533D"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r>
      <w:tr w:rsidR="0090533D" w:rsidRPr="004077C8" w:rsidTr="005E360C">
        <w:trPr>
          <w:trHeight w:val="832"/>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90533D" w:rsidRDefault="0090533D" w:rsidP="00F80FD7">
            <w:pPr>
              <w:widowControl w:val="0"/>
              <w:spacing w:line="360" w:lineRule="auto"/>
              <w:jc w:val="left"/>
              <w:rPr>
                <w:rFonts w:cs="Arial"/>
                <w:b/>
                <w:sz w:val="22"/>
                <w:szCs w:val="22"/>
                <w:lang w:val="en-US"/>
              </w:rPr>
            </w:pPr>
            <w:r>
              <w:rPr>
                <w:rFonts w:cs="Arial"/>
                <w:b/>
                <w:sz w:val="22"/>
                <w:szCs w:val="22"/>
                <w:lang w:val="en-US"/>
              </w:rPr>
              <w:t>3.3</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90533D" w:rsidRPr="0090533D" w:rsidRDefault="0090533D" w:rsidP="002D4E29">
            <w:pPr>
              <w:widowControl w:val="0"/>
              <w:tabs>
                <w:tab w:val="left" w:pos="459"/>
              </w:tabs>
              <w:spacing w:line="360" w:lineRule="auto"/>
              <w:jc w:val="left"/>
              <w:rPr>
                <w:rFonts w:cs="Arial"/>
                <w:sz w:val="22"/>
                <w:szCs w:val="22"/>
              </w:rPr>
            </w:pPr>
            <w:r w:rsidRPr="0090533D">
              <w:rPr>
                <w:rFonts w:cs="Arial"/>
                <w:sz w:val="22"/>
                <w:szCs w:val="22"/>
              </w:rPr>
              <w:t>Ensures that document management processes and procedures (i.e. retention of records and destruction) are in place.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90533D" w:rsidRPr="00B62C57" w:rsidRDefault="0090533D"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90533D" w:rsidRDefault="0090533D" w:rsidP="0065259F">
            <w:pPr>
              <w:widowControl w:val="0"/>
              <w:spacing w:line="360" w:lineRule="auto"/>
              <w:jc w:val="left"/>
              <w:rPr>
                <w:rFonts w:cs="Arial"/>
                <w:sz w:val="22"/>
                <w:szCs w:val="22"/>
                <w:lang w:val="en-GB"/>
              </w:rPr>
            </w:pPr>
          </w:p>
        </w:tc>
      </w:tr>
      <w:tr w:rsidR="002A53B5" w:rsidRPr="004077C8" w:rsidTr="00086667">
        <w:trPr>
          <w:trHeight w:val="675"/>
        </w:trPr>
        <w:tc>
          <w:tcPr>
            <w:tcW w:w="993" w:type="dxa"/>
            <w:tcBorders>
              <w:top w:val="single" w:sz="12" w:space="0" w:color="000000"/>
              <w:left w:val="single" w:sz="12" w:space="0" w:color="000000"/>
              <w:right w:val="single" w:sz="12" w:space="0" w:color="000000"/>
            </w:tcBorders>
            <w:shd w:val="clear" w:color="auto" w:fill="1F497D" w:themeFill="text2"/>
            <w:vAlign w:val="center"/>
          </w:tcPr>
          <w:p w:rsidR="002A53B5" w:rsidRPr="00AB02DF" w:rsidRDefault="002A53B5" w:rsidP="002A53B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rsidR="0090533D" w:rsidRPr="0090533D" w:rsidRDefault="0090533D" w:rsidP="0090533D">
            <w:pPr>
              <w:pStyle w:val="Default"/>
              <w:rPr>
                <w:b/>
                <w:bCs/>
                <w:color w:val="FFFFFF" w:themeColor="background1"/>
                <w:sz w:val="22"/>
                <w:szCs w:val="22"/>
              </w:rPr>
            </w:pPr>
            <w:r w:rsidRPr="0090533D">
              <w:rPr>
                <w:b/>
                <w:bCs/>
                <w:color w:val="FFFFFF" w:themeColor="background1"/>
                <w:sz w:val="22"/>
                <w:szCs w:val="22"/>
              </w:rPr>
              <w:t xml:space="preserve">Reference Letters </w:t>
            </w:r>
          </w:p>
          <w:p w:rsidR="002A53B5" w:rsidRPr="00AB02DF" w:rsidRDefault="002A53B5" w:rsidP="002A53B5">
            <w:pPr>
              <w:pStyle w:val="Default"/>
              <w:rPr>
                <w:color w:val="FFFFFF" w:themeColor="background1"/>
                <w:sz w:val="22"/>
                <w:szCs w:val="22"/>
              </w:rPr>
            </w:pPr>
          </w:p>
        </w:tc>
        <w:tc>
          <w:tcPr>
            <w:tcW w:w="1418" w:type="dxa"/>
            <w:tcBorders>
              <w:top w:val="single" w:sz="12" w:space="0" w:color="000000"/>
              <w:left w:val="single" w:sz="12" w:space="0" w:color="000000"/>
              <w:right w:val="single" w:sz="12" w:space="0" w:color="000000"/>
            </w:tcBorders>
            <w:shd w:val="clear" w:color="auto" w:fill="1F497D" w:themeFill="text2"/>
          </w:tcPr>
          <w:p w:rsidR="002A53B5" w:rsidRPr="00982A20" w:rsidRDefault="002A53B5" w:rsidP="002A53B5">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2A53B5" w:rsidRPr="00982A20" w:rsidRDefault="002A53B5" w:rsidP="002A53B5">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2A53B5" w:rsidRPr="00982A20" w:rsidRDefault="002A53B5" w:rsidP="002A53B5">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2A53B5" w:rsidRPr="00982A20" w:rsidRDefault="002A53B5" w:rsidP="002A53B5">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2A53B5" w:rsidRPr="00982A20" w:rsidRDefault="002A53B5" w:rsidP="002A53B5">
            <w:pPr>
              <w:widowControl w:val="0"/>
              <w:spacing w:line="360" w:lineRule="auto"/>
              <w:jc w:val="center"/>
              <w:rPr>
                <w:rFonts w:cs="Arial"/>
                <w:color w:val="FFFFFF" w:themeColor="background1"/>
                <w:sz w:val="22"/>
                <w:szCs w:val="22"/>
                <w:lang w:val="en-GB"/>
              </w:rPr>
            </w:pPr>
          </w:p>
        </w:tc>
      </w:tr>
      <w:tr w:rsidR="00455C1B" w:rsidRPr="004077C8" w:rsidTr="005E360C">
        <w:trPr>
          <w:trHeight w:val="675"/>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55C1B" w:rsidRDefault="002A53B5" w:rsidP="002A53B5">
            <w:pPr>
              <w:widowControl w:val="0"/>
              <w:spacing w:line="360" w:lineRule="auto"/>
              <w:jc w:val="left"/>
              <w:rPr>
                <w:rFonts w:cs="Arial"/>
                <w:b/>
                <w:sz w:val="22"/>
                <w:szCs w:val="22"/>
                <w:lang w:val="en-US"/>
              </w:rPr>
            </w:pPr>
            <w:r>
              <w:rPr>
                <w:rFonts w:cs="Arial"/>
                <w:b/>
                <w:sz w:val="22"/>
                <w:szCs w:val="22"/>
                <w:lang w:val="en-US"/>
              </w:rPr>
              <w:t>4</w:t>
            </w:r>
            <w:r w:rsidR="00455C1B">
              <w:rPr>
                <w:rFonts w:cs="Arial"/>
                <w:b/>
                <w:sz w:val="22"/>
                <w:szCs w:val="22"/>
                <w:lang w:val="en-US"/>
              </w:rPr>
              <w:t>.</w:t>
            </w:r>
            <w:r>
              <w:rPr>
                <w:rFonts w:cs="Arial"/>
                <w:b/>
                <w:sz w:val="22"/>
                <w:szCs w:val="22"/>
                <w:lang w:val="en-US"/>
              </w:rPr>
              <w:t>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90533D" w:rsidRPr="0090533D" w:rsidRDefault="0090533D" w:rsidP="0090533D">
            <w:pPr>
              <w:widowControl w:val="0"/>
              <w:tabs>
                <w:tab w:val="left" w:pos="459"/>
              </w:tabs>
              <w:spacing w:line="360" w:lineRule="auto"/>
              <w:jc w:val="left"/>
              <w:rPr>
                <w:rFonts w:cs="Arial"/>
                <w:sz w:val="22"/>
                <w:szCs w:val="22"/>
              </w:rPr>
            </w:pPr>
            <w:r w:rsidRPr="0090533D">
              <w:rPr>
                <w:rFonts w:cs="Arial"/>
                <w:sz w:val="22"/>
                <w:szCs w:val="22"/>
              </w:rPr>
              <w:t>Reference letters from at least three (3) contactable clients, to whom similar services have been provided to in the past five (5) years. The reference letters must include company name, contact person name and designation, phone number, email address, duration of the contract, a brief description of the services rendered, the level of satisfaction with the services rendered and accessibility and availability.</w:t>
            </w:r>
          </w:p>
          <w:p w:rsidR="00455C1B" w:rsidRPr="00455C1B" w:rsidRDefault="00455C1B" w:rsidP="002D4E29">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455C1B" w:rsidRPr="00B62C57" w:rsidRDefault="00455C1B"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C60" w:rsidRDefault="00104C60" w:rsidP="00470D97">
      <w:r>
        <w:separator/>
      </w:r>
    </w:p>
  </w:endnote>
  <w:endnote w:type="continuationSeparator" w:id="0">
    <w:p w:rsidR="00104C60" w:rsidRDefault="00104C60"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C60" w:rsidRDefault="00104C60" w:rsidP="00470D97">
      <w:r>
        <w:separator/>
      </w:r>
    </w:p>
  </w:footnote>
  <w:footnote w:type="continuationSeparator" w:id="0">
    <w:p w:rsidR="00104C60" w:rsidRDefault="00104C60" w:rsidP="00470D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480A4DF" wp14:editId="4641C7D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49C7239" wp14:editId="60D6DCDB">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DED8F4"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2"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38874C0F"/>
    <w:multiLevelType w:val="multilevel"/>
    <w:tmpl w:val="0700EDC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F12B9D"/>
    <w:multiLevelType w:val="hybridMultilevel"/>
    <w:tmpl w:val="A3AEE988"/>
    <w:lvl w:ilvl="0" w:tplc="1C090001">
      <w:start w:val="1"/>
      <w:numFmt w:val="bullet"/>
      <w:lvlText w:val=""/>
      <w:lvlJc w:val="left"/>
      <w:pPr>
        <w:ind w:left="2705" w:hanging="360"/>
      </w:pPr>
      <w:rPr>
        <w:rFonts w:ascii="Symbol" w:hAnsi="Symbol" w:hint="default"/>
      </w:rPr>
    </w:lvl>
    <w:lvl w:ilvl="1" w:tplc="1C090003" w:tentative="1">
      <w:start w:val="1"/>
      <w:numFmt w:val="bullet"/>
      <w:lvlText w:val="o"/>
      <w:lvlJc w:val="left"/>
      <w:pPr>
        <w:ind w:left="3425" w:hanging="360"/>
      </w:pPr>
      <w:rPr>
        <w:rFonts w:ascii="Courier New" w:hAnsi="Courier New" w:cs="Courier New" w:hint="default"/>
      </w:rPr>
    </w:lvl>
    <w:lvl w:ilvl="2" w:tplc="1C090005" w:tentative="1">
      <w:start w:val="1"/>
      <w:numFmt w:val="bullet"/>
      <w:lvlText w:val=""/>
      <w:lvlJc w:val="left"/>
      <w:pPr>
        <w:ind w:left="4145" w:hanging="360"/>
      </w:pPr>
      <w:rPr>
        <w:rFonts w:ascii="Wingdings" w:hAnsi="Wingdings" w:hint="default"/>
      </w:rPr>
    </w:lvl>
    <w:lvl w:ilvl="3" w:tplc="1C090001" w:tentative="1">
      <w:start w:val="1"/>
      <w:numFmt w:val="bullet"/>
      <w:lvlText w:val=""/>
      <w:lvlJc w:val="left"/>
      <w:pPr>
        <w:ind w:left="4865" w:hanging="360"/>
      </w:pPr>
      <w:rPr>
        <w:rFonts w:ascii="Symbol" w:hAnsi="Symbol" w:hint="default"/>
      </w:rPr>
    </w:lvl>
    <w:lvl w:ilvl="4" w:tplc="1C090003" w:tentative="1">
      <w:start w:val="1"/>
      <w:numFmt w:val="bullet"/>
      <w:lvlText w:val="o"/>
      <w:lvlJc w:val="left"/>
      <w:pPr>
        <w:ind w:left="5585" w:hanging="360"/>
      </w:pPr>
      <w:rPr>
        <w:rFonts w:ascii="Courier New" w:hAnsi="Courier New" w:cs="Courier New" w:hint="default"/>
      </w:rPr>
    </w:lvl>
    <w:lvl w:ilvl="5" w:tplc="1C090005" w:tentative="1">
      <w:start w:val="1"/>
      <w:numFmt w:val="bullet"/>
      <w:lvlText w:val=""/>
      <w:lvlJc w:val="left"/>
      <w:pPr>
        <w:ind w:left="6305" w:hanging="360"/>
      </w:pPr>
      <w:rPr>
        <w:rFonts w:ascii="Wingdings" w:hAnsi="Wingdings" w:hint="default"/>
      </w:rPr>
    </w:lvl>
    <w:lvl w:ilvl="6" w:tplc="1C090001" w:tentative="1">
      <w:start w:val="1"/>
      <w:numFmt w:val="bullet"/>
      <w:lvlText w:val=""/>
      <w:lvlJc w:val="left"/>
      <w:pPr>
        <w:ind w:left="7025" w:hanging="360"/>
      </w:pPr>
      <w:rPr>
        <w:rFonts w:ascii="Symbol" w:hAnsi="Symbol" w:hint="default"/>
      </w:rPr>
    </w:lvl>
    <w:lvl w:ilvl="7" w:tplc="1C090003" w:tentative="1">
      <w:start w:val="1"/>
      <w:numFmt w:val="bullet"/>
      <w:lvlText w:val="o"/>
      <w:lvlJc w:val="left"/>
      <w:pPr>
        <w:ind w:left="7745" w:hanging="360"/>
      </w:pPr>
      <w:rPr>
        <w:rFonts w:ascii="Courier New" w:hAnsi="Courier New" w:cs="Courier New" w:hint="default"/>
      </w:rPr>
    </w:lvl>
    <w:lvl w:ilvl="8" w:tplc="1C090005" w:tentative="1">
      <w:start w:val="1"/>
      <w:numFmt w:val="bullet"/>
      <w:lvlText w:val=""/>
      <w:lvlJc w:val="left"/>
      <w:pPr>
        <w:ind w:left="8465" w:hanging="360"/>
      </w:pPr>
      <w:rPr>
        <w:rFonts w:ascii="Wingdings" w:hAnsi="Wingdings" w:hint="default"/>
      </w:rPr>
    </w:lvl>
  </w:abstractNum>
  <w:abstractNum w:abstractNumId="7" w15:restartNumberingAfterBreak="0">
    <w:nsid w:val="45E5176D"/>
    <w:multiLevelType w:val="hybridMultilevel"/>
    <w:tmpl w:val="A9D26F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EF47B99"/>
    <w:multiLevelType w:val="hybridMultilevel"/>
    <w:tmpl w:val="36EC8D68"/>
    <w:lvl w:ilvl="0" w:tplc="1C090001">
      <w:start w:val="1"/>
      <w:numFmt w:val="bullet"/>
      <w:lvlText w:val=""/>
      <w:lvlJc w:val="left"/>
      <w:pPr>
        <w:ind w:left="1364" w:hanging="360"/>
      </w:pPr>
      <w:rPr>
        <w:rFonts w:ascii="Symbol" w:hAnsi="Symbol" w:hint="default"/>
      </w:rPr>
    </w:lvl>
    <w:lvl w:ilvl="1" w:tplc="1C090001">
      <w:start w:val="1"/>
      <w:numFmt w:val="bullet"/>
      <w:lvlText w:val=""/>
      <w:lvlJc w:val="left"/>
      <w:pPr>
        <w:ind w:left="2084" w:hanging="360"/>
      </w:pPr>
      <w:rPr>
        <w:rFonts w:ascii="Symbol" w:hAnsi="Symbol"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9"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11"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12"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3"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0"/>
  </w:num>
  <w:num w:numId="4">
    <w:abstractNumId w:val="1"/>
  </w:num>
  <w:num w:numId="5">
    <w:abstractNumId w:val="9"/>
  </w:num>
  <w:num w:numId="6">
    <w:abstractNumId w:val="4"/>
  </w:num>
  <w:num w:numId="7">
    <w:abstractNumId w:val="11"/>
  </w:num>
  <w:num w:numId="8">
    <w:abstractNumId w:val="13"/>
  </w:num>
  <w:num w:numId="9">
    <w:abstractNumId w:val="0"/>
  </w:num>
  <w:num w:numId="10">
    <w:abstractNumId w:val="12"/>
  </w:num>
  <w:num w:numId="11">
    <w:abstractNumId w:val="5"/>
  </w:num>
  <w:num w:numId="12">
    <w:abstractNumId w:val="6"/>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106EB"/>
    <w:rsid w:val="00023ACE"/>
    <w:rsid w:val="0002672C"/>
    <w:rsid w:val="00042824"/>
    <w:rsid w:val="0009632E"/>
    <w:rsid w:val="000B6BFB"/>
    <w:rsid w:val="000C30C5"/>
    <w:rsid w:val="000C4DD4"/>
    <w:rsid w:val="000F2744"/>
    <w:rsid w:val="00104C60"/>
    <w:rsid w:val="00136353"/>
    <w:rsid w:val="00167B82"/>
    <w:rsid w:val="001A7D67"/>
    <w:rsid w:val="001F3C3A"/>
    <w:rsid w:val="00227C9C"/>
    <w:rsid w:val="00281D88"/>
    <w:rsid w:val="002A2D2A"/>
    <w:rsid w:val="002A53B5"/>
    <w:rsid w:val="002D302C"/>
    <w:rsid w:val="002D4E29"/>
    <w:rsid w:val="00300708"/>
    <w:rsid w:val="003226B5"/>
    <w:rsid w:val="00356647"/>
    <w:rsid w:val="003A6961"/>
    <w:rsid w:val="00412F4A"/>
    <w:rsid w:val="00423A9B"/>
    <w:rsid w:val="00431B7F"/>
    <w:rsid w:val="00431F16"/>
    <w:rsid w:val="004421EE"/>
    <w:rsid w:val="00455C1B"/>
    <w:rsid w:val="00470D97"/>
    <w:rsid w:val="00475327"/>
    <w:rsid w:val="004B4E81"/>
    <w:rsid w:val="004C2773"/>
    <w:rsid w:val="004C4934"/>
    <w:rsid w:val="004C7370"/>
    <w:rsid w:val="00511C94"/>
    <w:rsid w:val="00546DB8"/>
    <w:rsid w:val="005A576A"/>
    <w:rsid w:val="005E360C"/>
    <w:rsid w:val="006334DB"/>
    <w:rsid w:val="006358DB"/>
    <w:rsid w:val="0065259F"/>
    <w:rsid w:val="00654240"/>
    <w:rsid w:val="00671551"/>
    <w:rsid w:val="00672B9E"/>
    <w:rsid w:val="007031A7"/>
    <w:rsid w:val="00705FD2"/>
    <w:rsid w:val="00725717"/>
    <w:rsid w:val="007670B9"/>
    <w:rsid w:val="007C4CF4"/>
    <w:rsid w:val="008344C2"/>
    <w:rsid w:val="0085503D"/>
    <w:rsid w:val="008B6773"/>
    <w:rsid w:val="008C3A23"/>
    <w:rsid w:val="0090533D"/>
    <w:rsid w:val="00964E6C"/>
    <w:rsid w:val="00967059"/>
    <w:rsid w:val="00982A20"/>
    <w:rsid w:val="00A0445B"/>
    <w:rsid w:val="00A6098A"/>
    <w:rsid w:val="00A93A2D"/>
    <w:rsid w:val="00AB02DF"/>
    <w:rsid w:val="00AD6505"/>
    <w:rsid w:val="00B03085"/>
    <w:rsid w:val="00B71A57"/>
    <w:rsid w:val="00B82CAF"/>
    <w:rsid w:val="00B91003"/>
    <w:rsid w:val="00BC2F53"/>
    <w:rsid w:val="00BE6038"/>
    <w:rsid w:val="00C019A6"/>
    <w:rsid w:val="00C82799"/>
    <w:rsid w:val="00C946B3"/>
    <w:rsid w:val="00CB3D5F"/>
    <w:rsid w:val="00CB751B"/>
    <w:rsid w:val="00CC2A22"/>
    <w:rsid w:val="00CE5EFE"/>
    <w:rsid w:val="00D473BA"/>
    <w:rsid w:val="00D8015B"/>
    <w:rsid w:val="00DF0DEB"/>
    <w:rsid w:val="00DF4705"/>
    <w:rsid w:val="00E0266A"/>
    <w:rsid w:val="00E62033"/>
    <w:rsid w:val="00E8219D"/>
    <w:rsid w:val="00ED1ECC"/>
    <w:rsid w:val="00EE7261"/>
    <w:rsid w:val="00F121DF"/>
    <w:rsid w:val="00F760F3"/>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7E816"/>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2">
    <w:name w:val="heading 2"/>
    <w:basedOn w:val="Normal"/>
    <w:next w:val="Normal"/>
    <w:link w:val="Heading2Char"/>
    <w:uiPriority w:val="9"/>
    <w:semiHidden/>
    <w:unhideWhenUsed/>
    <w:qFormat/>
    <w:rsid w:val="009053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E36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List Paragraph1"/>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List Paragraph1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5E360C"/>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90533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881BD-896F-4F5A-A6A8-77F091DAE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Bethuel Sivhada</cp:lastModifiedBy>
  <cp:revision>10</cp:revision>
  <cp:lastPrinted>2019-11-12T07:50:00Z</cp:lastPrinted>
  <dcterms:created xsi:type="dcterms:W3CDTF">2020-08-27T09:33:00Z</dcterms:created>
  <dcterms:modified xsi:type="dcterms:W3CDTF">2021-08-25T08:07:00Z</dcterms:modified>
</cp:coreProperties>
</file>